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39" w:rsidRDefault="00EF2239">
      <w:pPr>
        <w:tabs>
          <w:tab w:val="left" w:pos="2095"/>
        </w:tabs>
        <w:rPr>
          <w:sz w:val="20"/>
        </w:rPr>
      </w:pPr>
      <w:bookmarkStart w:id="0" w:name="_GoBack"/>
      <w:bookmarkEnd w:id="0"/>
    </w:p>
    <w:p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EF2239" w:rsidRDefault="00EF2239">
      <w:pPr>
        <w:spacing w:line="80" w:lineRule="exact"/>
        <w:rPr>
          <w:sz w:val="20"/>
          <w:szCs w:val="24"/>
        </w:rPr>
      </w:pPr>
    </w:p>
    <w:p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Кодексом Российской Федерации об административных правонарушениях </w:t>
            </w:r>
          </w:p>
        </w:tc>
      </w:tr>
    </w:tbl>
    <w:p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>
        <w:tc>
          <w:tcPr>
            <w:tcW w:w="2691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>
              <w:rPr>
                <w:sz w:val="20"/>
                <w:u w:val="single"/>
              </w:rPr>
              <w:t xml:space="preserve">       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</w:tr>
    </w:tbl>
    <w:p w:rsidR="00EF2239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 xml:space="preserve">юридические лица, осуществляющие культурно-досуговую деятельность (кроме субъектов малого предпринимательства), полный перечень </w:t>
            </w:r>
            <w:r>
              <w:rPr>
                <w:rFonts w:ascii="Times New Roman" w:hAnsi="Times New Roman"/>
                <w:spacing w:val="-4"/>
                <w:lang w:val="ru-RU" w:eastAsia="ru-RU"/>
              </w:rPr>
              <w:t>респондентов приведен в указаниях по заполнению формы федерального статистического наблюдения:</w:t>
            </w:r>
          </w:p>
          <w:p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>(при наличии)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:rsidR="00EF2239" w:rsidRDefault="00EF2239">
      <w:pPr>
        <w:pStyle w:val="singlespacefootnotetext11111"/>
        <w:tabs>
          <w:tab w:val="left" w:pos="3375"/>
          <w:tab w:val="left" w:pos="6574"/>
        </w:tabs>
      </w:pPr>
    </w:p>
    <w:p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EF2239">
        <w:trPr>
          <w:trHeight w:val="121"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(для обособленного подразделения юридического лица – идентификационный </w:t>
            </w:r>
            <w:r>
              <w:rPr>
                <w:sz w:val="20"/>
              </w:rPr>
              <w:t>номер)</w:t>
            </w: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:rsidR="00EF2239" w:rsidRDefault="00EF2239">
      <w:pPr>
        <w:spacing w:before="120"/>
        <w:ind w:firstLine="709"/>
        <w:rPr>
          <w:sz w:val="22"/>
          <w:szCs w:val="22"/>
        </w:rPr>
      </w:pPr>
    </w:p>
    <w:p w:rsidR="00EF2239" w:rsidRDefault="006510BF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  _______________________________________________________________________________</w:t>
      </w:r>
    </w:p>
    <w:p w:rsidR="00EF2239" w:rsidRDefault="006510BF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ОКВЭД2 ___________________________</w:t>
      </w:r>
    </w:p>
    <w:p w:rsidR="00EF2239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  <w:r>
        <w:rPr>
          <w:rFonts w:eastAsia="Cambria"/>
          <w:b/>
          <w:lang w:eastAsia="en-US"/>
        </w:rPr>
        <w:lastRenderedPageBreak/>
        <w:t xml:space="preserve">Раздел 1. </w:t>
      </w:r>
      <w:r>
        <w:rPr>
          <w:rFonts w:eastAsia="Cambria"/>
          <w:b/>
          <w:lang w:eastAsia="en-US"/>
        </w:rPr>
        <w:t>Материально-техническая база</w:t>
      </w:r>
    </w:p>
    <w:p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</w:tr>
      <w:tr w:rsidR="00EF2239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 xml:space="preserve">в оперативном управлении или </w:t>
            </w:r>
            <w:r>
              <w:rPr>
                <w:spacing w:val="-6"/>
                <w:sz w:val="20"/>
              </w:rPr>
              <w:t>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1786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18)</w:t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</w:t>
            </w:r>
            <w:r>
              <w:rPr>
                <w:rFonts w:eastAsia="Cambria"/>
                <w:sz w:val="20"/>
                <w:lang w:eastAsia="en-US"/>
              </w:rPr>
              <w:t>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698"/>
        <w:gridCol w:w="2095"/>
        <w:gridCol w:w="1538"/>
        <w:gridCol w:w="2164"/>
        <w:gridCol w:w="1749"/>
        <w:gridCol w:w="1809"/>
        <w:gridCol w:w="1538"/>
        <w:gridCol w:w="1677"/>
      </w:tblGrid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</w:t>
            </w:r>
            <w:r>
              <w:rPr>
                <w:rFonts w:eastAsia="Cambria"/>
                <w:sz w:val="20"/>
                <w:lang w:eastAsia="en-US"/>
              </w:rPr>
              <w:t>доступа в Интернет для посетителей и участников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EF2239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:rsidR="00EF2239" w:rsidRDefault="00EF2239"/>
    <w:p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r>
        <w:rPr>
          <w:rFonts w:eastAsia="Cambria"/>
        </w:rPr>
        <w:lastRenderedPageBreak/>
        <w:t xml:space="preserve">Раздел 2. </w:t>
      </w:r>
      <w:r>
        <w:rPr>
          <w:rFonts w:eastAsia="Cambria"/>
        </w:rPr>
        <w:t>Клубные формирования</w:t>
      </w:r>
    </w:p>
    <w:p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EF2239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 лиц с </w:t>
            </w:r>
            <w:r>
              <w:rPr>
                <w:rFonts w:eastAsia="Cambria"/>
                <w:sz w:val="20"/>
                <w:lang w:eastAsia="en-US"/>
              </w:rPr>
              <w:t>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спортив-ные </w:t>
            </w:r>
            <w:r>
              <w:rPr>
                <w:rFonts w:eastAsia="Cambria"/>
                <w:sz w:val="20"/>
                <w:lang w:eastAsia="en-US"/>
              </w:rPr>
              <w:t>формиро-вания/ кружки</w:t>
            </w:r>
          </w:p>
        </w:tc>
      </w:tr>
      <w:tr w:rsidR="00EF2239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>
        <w:trPr>
          <w:trHeight w:val="373"/>
        </w:trPr>
        <w:tc>
          <w:tcPr>
            <w:tcW w:w="753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</w:t>
            </w:r>
            <w:r>
              <w:rPr>
                <w:rFonts w:eastAsia="Cambria"/>
                <w:sz w:val="20"/>
              </w:rPr>
              <w:t>коллективы (из графы 11)</w:t>
            </w:r>
          </w:p>
        </w:tc>
      </w:tr>
      <w:tr w:rsidR="00EF2239">
        <w:trPr>
          <w:trHeight w:val="438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17)</w:t>
            </w:r>
          </w:p>
        </w:tc>
        <w:tc>
          <w:tcPr>
            <w:tcW w:w="1186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25)</w:t>
            </w:r>
          </w:p>
        </w:tc>
      </w:tr>
      <w:tr w:rsidR="00EF2239">
        <w:trPr>
          <w:trHeight w:val="406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18)</w:t>
            </w:r>
          </w:p>
        </w:tc>
        <w:tc>
          <w:tcPr>
            <w:tcW w:w="1129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21)</w:t>
            </w:r>
          </w:p>
        </w:tc>
        <w:tc>
          <w:tcPr>
            <w:tcW w:w="990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и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453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333"/>
        </w:trPr>
        <w:tc>
          <w:tcPr>
            <w:tcW w:w="753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lastRenderedPageBreak/>
              <w:t>№ стро-ки</w:t>
            </w:r>
          </w:p>
        </w:tc>
        <w:tc>
          <w:tcPr>
            <w:tcW w:w="15208" w:type="dxa"/>
            <w:gridSpan w:val="1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t>(из графы 11)</w:t>
            </w:r>
          </w:p>
        </w:tc>
      </w:tr>
      <w:tr w:rsidR="00EF2239">
        <w:trPr>
          <w:trHeight w:val="59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</w:r>
            <w:r>
              <w:rPr>
                <w:rFonts w:eastAsia="Cambria"/>
                <w:sz w:val="20"/>
              </w:rPr>
              <w:t>(из графы 42)</w:t>
            </w:r>
          </w:p>
        </w:tc>
      </w:tr>
      <w:tr w:rsidR="00EF2239">
        <w:trPr>
          <w:trHeight w:val="30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>
        <w:trPr>
          <w:trHeight w:val="1120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EF2239" w:rsidRDefault="00EF2239">
      <w:pPr>
        <w:jc w:val="center"/>
        <w:rPr>
          <w:sz w:val="20"/>
          <w:lang w:val="en-US"/>
        </w:rPr>
      </w:pPr>
    </w:p>
    <w:p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>
        <w:trPr>
          <w:trHeight w:val="325"/>
        </w:trPr>
        <w:tc>
          <w:tcPr>
            <w:tcW w:w="102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284"/>
        </w:trPr>
        <w:tc>
          <w:tcPr>
            <w:tcW w:w="102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>
        <w:trPr>
          <w:trHeight w:val="290"/>
        </w:trPr>
        <w:tc>
          <w:tcPr>
            <w:tcW w:w="102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42"/>
        <w:gridCol w:w="1081"/>
        <w:gridCol w:w="1324"/>
        <w:gridCol w:w="1078"/>
        <w:gridCol w:w="1334"/>
        <w:gridCol w:w="1257"/>
        <w:gridCol w:w="1469"/>
        <w:gridCol w:w="1850"/>
        <w:gridCol w:w="1644"/>
      </w:tblGrid>
      <w:tr w:rsidR="00EF2239">
        <w:trPr>
          <w:trHeight w:val="396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всего</w:t>
            </w:r>
          </w:p>
        </w:tc>
        <w:tc>
          <w:tcPr>
            <w:tcW w:w="38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>
        <w:trPr>
          <w:trHeight w:val="303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до 14 лет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48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и лицами с ОВЗ</w:t>
            </w:r>
          </w:p>
        </w:tc>
        <w:tc>
          <w:tcPr>
            <w:tcW w:w="605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пециализированных транспортных средств</w:t>
            </w:r>
          </w:p>
        </w:tc>
        <w:tc>
          <w:tcPr>
            <w:tcW w:w="538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автоклубов </w:t>
            </w:r>
          </w:p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>
        <w:trPr>
          <w:trHeight w:val="527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до 14 лет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2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>
        <w:trPr>
          <w:trHeight w:val="60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513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748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51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:rsidR="00EF2239" w:rsidRDefault="00EF2239">
      <w:pPr>
        <w:jc w:val="center"/>
        <w:rPr>
          <w:rFonts w:eastAsia="Cambria"/>
          <w:b/>
          <w:lang w:eastAsia="en-US"/>
        </w:rPr>
      </w:pPr>
    </w:p>
    <w:p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 xml:space="preserve">Раздел 4. </w:t>
      </w:r>
      <w:r>
        <w:rPr>
          <w:rFonts w:eastAsia="Cambria"/>
          <w:b/>
          <w:lang w:eastAsia="en-US"/>
        </w:rPr>
        <w:t>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и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:rsidR="00EF2239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</w:t>
            </w:r>
            <w:r>
              <w:rPr>
                <w:rFonts w:eastAsia="Cambria"/>
                <w:sz w:val="20"/>
                <w:lang w:eastAsia="en-US"/>
              </w:rPr>
              <w:t xml:space="preserve">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20)</w:t>
            </w:r>
          </w:p>
        </w:tc>
      </w:tr>
      <w:tr w:rsidR="00EF2239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EF2239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</w:r>
            <w:r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EF2239" w:rsidRDefault="00EF223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EF2239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>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</w:r>
            <w:r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EF2239" w:rsidRDefault="00EF2239">
      <w:pPr>
        <w:spacing w:after="120"/>
        <w:jc w:val="center"/>
        <w:rPr>
          <w:b/>
          <w:sz w:val="26"/>
          <w:szCs w:val="24"/>
        </w:rPr>
      </w:pPr>
    </w:p>
    <w:p w:rsidR="00EF2239" w:rsidRDefault="006510BF">
      <w:pPr>
        <w:spacing w:after="12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br w:type="page" w:clear="all"/>
      </w:r>
      <w:r>
        <w:rPr>
          <w:b/>
          <w:sz w:val="26"/>
          <w:szCs w:val="24"/>
        </w:rPr>
        <w:lastRenderedPageBreak/>
        <w:t>Указания по заполнению формы федерального статистического наблюдения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1. Первичные статистические данные по форме федерального статистического наблюдения № 7-НК «Сведения об организации культурно-досугового типа» (далее – форма) предоставляют юридические лица, </w:t>
      </w:r>
      <w:r>
        <w:rPr>
          <w:spacing w:val="-4"/>
        </w:rPr>
        <w:t xml:space="preserve">осуществляющие культурно-досуговую деятельность (кроме субъектов </w:t>
      </w:r>
      <w:r>
        <w:rPr>
          <w:spacing w:val="-4"/>
        </w:rPr>
        <w:t>малого предпринимательства)</w:t>
      </w:r>
      <w:r>
        <w:rPr>
          <w:szCs w:val="24"/>
        </w:rPr>
        <w:t>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 xml:space="preserve">юридические лица – организации культурно-досугового типа, в том числе являющиеся клубным формированием или коллективом художественного любительского творчества, </w:t>
      </w:r>
      <w:r>
        <w:rPr>
          <w:szCs w:val="24"/>
        </w:rPr>
        <w:t>имеющие основной вид экономической деятельности «Деятельность мног</w:t>
      </w:r>
      <w:r>
        <w:rPr>
          <w:szCs w:val="24"/>
        </w:rPr>
        <w:t xml:space="preserve">оцелевых центров и подобных заведений с преобладанием культурного обслуживания (подгруппа 90.04.2) или «Деятельность учреждений клубного типа: клубов, дворцов и домов культуры, домов народного творчества» (подгруппа 90.04.3) в соответствии </w:t>
      </w:r>
      <w:r>
        <w:rPr>
          <w:color w:val="000000" w:themeColor="text1"/>
          <w:szCs w:val="24"/>
        </w:rPr>
        <w:t>с Общероссийским</w:t>
      </w:r>
      <w:r>
        <w:rPr>
          <w:color w:val="000000" w:themeColor="text1"/>
          <w:szCs w:val="24"/>
        </w:rPr>
        <w:t xml:space="preserve"> классификатором видов экономической деятельности (ОКВЭД2) ОК 029-2014 (КДЕС Ред. 2), принятым и введенным в действие Приказом Федерального агентства по техническому регулированию и метрологии от 31 января 2014 г. № 14-ст </w:t>
      </w:r>
      <w:r>
        <w:rPr>
          <w:szCs w:val="24"/>
        </w:rPr>
        <w:t>(далее – ОКВЭД2);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>юридические лица</w:t>
      </w:r>
      <w:r>
        <w:rPr>
          <w:szCs w:val="24"/>
        </w:rPr>
        <w:t xml:space="preserve">, </w:t>
      </w:r>
      <w:r>
        <w:rPr>
          <w:spacing w:val="-2"/>
          <w:szCs w:val="24"/>
        </w:rPr>
        <w:t xml:space="preserve">осуществляющие </w:t>
      </w:r>
      <w:r>
        <w:rPr>
          <w:color w:val="000000"/>
          <w:szCs w:val="24"/>
        </w:rPr>
        <w:t xml:space="preserve">один из видов своей экономической деятельности </w:t>
      </w:r>
      <w:r>
        <w:rPr>
          <w:szCs w:val="24"/>
        </w:rPr>
        <w:t>«Деятельность многоцелевых центров и подобных заведений с преобладанием культурного обслуживания (подгруппа 90.04.2) или «Деятельность учреждений клубного типа: клубов, дворцов и домов культур</w:t>
      </w:r>
      <w:r>
        <w:rPr>
          <w:szCs w:val="24"/>
        </w:rPr>
        <w:t xml:space="preserve">ы, домов народного творчества» (подгруппа 90.04.3) в соответствии с </w:t>
      </w:r>
      <w:r>
        <w:rPr>
          <w:color w:val="000000"/>
          <w:szCs w:val="24"/>
        </w:rPr>
        <w:t>ОКВЭД2</w:t>
      </w:r>
      <w:r>
        <w:rPr>
          <w:spacing w:val="-2"/>
          <w:szCs w:val="24"/>
        </w:rPr>
        <w:t xml:space="preserve"> и </w:t>
      </w:r>
      <w:r>
        <w:rPr>
          <w:szCs w:val="24"/>
        </w:rPr>
        <w:t>имеющие в своем составе обособленные подразделения</w:t>
      </w:r>
      <w:r>
        <w:rPr>
          <w:rStyle w:val="af5"/>
          <w:szCs w:val="24"/>
        </w:rPr>
        <w:footnoteReference w:id="1"/>
      </w:r>
      <w:r>
        <w:rPr>
          <w:szCs w:val="24"/>
        </w:rPr>
        <w:t>, являющиеся клубными формированиями или коллективами художественного любительского творчества;</w:t>
      </w:r>
    </w:p>
    <w:p w:rsidR="00EF2239" w:rsidRDefault="006510BF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 xml:space="preserve">органы местного самоуправления, </w:t>
      </w:r>
      <w:r>
        <w:rPr>
          <w:szCs w:val="24"/>
        </w:rPr>
        <w:t>осуществляющие управление в сфере культуры;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исполнительные органы субъекта Российской Федерации, осуществляющие управление в сфере культуры.</w:t>
      </w:r>
    </w:p>
    <w:p w:rsidR="00EF2239" w:rsidRDefault="006510B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Вновь открытые (закрытые) в течение отчетного периода организации или поменявшие подчиненность (ведомство), вместе </w:t>
      </w:r>
      <w:r>
        <w:rPr>
          <w:color w:val="000000"/>
          <w:szCs w:val="24"/>
        </w:rPr>
        <w:t xml:space="preserve">с данными по форме предоставляют документ об основании для открытия (закрытия) организации (дата и номер приказа, постановления, решения). Вновь открытые организации дополнительно предоставляют документ о регистрации (дата регистрации, номер свидетельства </w:t>
      </w:r>
      <w:r>
        <w:rPr>
          <w:color w:val="000000"/>
          <w:szCs w:val="24"/>
        </w:rPr>
        <w:t>о регистрации, наименование органа, выдавшего свидетельство). В случае закрытия или реорганизации структурных подразделений данные по форме за них не предоставляются. Данные об их деятельности за период работы отражаются в отчетах учредителя или организаци</w:t>
      </w:r>
      <w:r>
        <w:rPr>
          <w:color w:val="000000"/>
          <w:szCs w:val="24"/>
        </w:rPr>
        <w:t>и – правопреемника культурно-досуговой организации.</w:t>
      </w:r>
    </w:p>
    <w:p w:rsidR="00EF2239" w:rsidRDefault="006510BF">
      <w:pPr>
        <w:ind w:firstLine="709"/>
        <w:jc w:val="both"/>
      </w:pPr>
      <w:r>
        <w:t>При наличии у юридического лица обособленных подразделений данные по форме предоставляются по каждому обособленному подразделению.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Руководитель юридического лица назначает должностных лиц, уполномоченных </w:t>
      </w:r>
      <w:r>
        <w:rPr>
          <w:szCs w:val="24"/>
        </w:rPr>
        <w:t xml:space="preserve">предоставлять </w:t>
      </w:r>
      <w:r>
        <w:t xml:space="preserve">данные </w:t>
      </w:r>
      <w:r>
        <w:rPr>
          <w:szCs w:val="24"/>
        </w:rPr>
        <w:t>от имени юридического лица.</w:t>
      </w:r>
    </w:p>
    <w:p w:rsidR="00EF2239" w:rsidRDefault="006510BF">
      <w:pPr>
        <w:tabs>
          <w:tab w:val="left" w:pos="4535"/>
        </w:tabs>
        <w:ind w:firstLine="709"/>
        <w:jc w:val="both"/>
        <w:rPr>
          <w:szCs w:val="24"/>
        </w:rPr>
      </w:pPr>
      <w:r>
        <w:rPr>
          <w:szCs w:val="24"/>
        </w:rPr>
        <w:t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</w:t>
      </w:r>
      <w:r>
        <w:rPr>
          <w:szCs w:val="24"/>
        </w:rPr>
        <w:t>аименование. На бланке формы, содержащей данные по обособленному подразделению юридического лица, указывается наименование обособленного подразделения и юридического лица, к которому оно относится.</w:t>
      </w:r>
    </w:p>
    <w:p w:rsidR="00EF2239" w:rsidRDefault="006510BF">
      <w:pPr>
        <w:ind w:firstLine="709"/>
        <w:jc w:val="both"/>
      </w:pPr>
      <w:r>
        <w:lastRenderedPageBreak/>
        <w:t>3. По строке «Почтовый адрес» указывается наименование суб</w:t>
      </w:r>
      <w:r>
        <w:t>ъекта Российской Федерации, юридический адрес с почтовым индексом, указанный в Единый государственный реестр юридических лиц; либо адрес, по которому юридическое лицо фактически осуществляет свою деятельность, если он не совпадает с юридическим адресом. Дл</w:t>
      </w:r>
      <w:r>
        <w:t>я обособленных подразделений, не имеющих юридического адреса, указывается почтовый адрес с почтовым индексом.</w:t>
      </w:r>
    </w:p>
    <w:p w:rsidR="00EF2239" w:rsidRDefault="006510BF">
      <w:pPr>
        <w:ind w:firstLine="709"/>
        <w:jc w:val="both"/>
      </w:pPr>
      <w:r>
        <w:t>4. </w:t>
      </w:r>
      <w:r>
        <w:rPr>
          <w:color w:val="000000"/>
        </w:rPr>
        <w:t>Юридическое лицо проставляет в кодовой части формы в графе 2 титульного листа код по общероссийскому классификатору предприятий и организаций (</w:t>
      </w:r>
      <w:r>
        <w:rPr>
          <w:color w:val="000000"/>
        </w:rPr>
        <w:t>ОКПО) или идентификационный номер (для территориально обособленного подразделения юридического лица) на основании Уведомления о присвоении кода ОКПО (идентификационного номера), размещенный на сайте системы сбора отчетности Федеральной службы государственн</w:t>
      </w:r>
      <w:r>
        <w:rPr>
          <w:color w:val="000000"/>
        </w:rPr>
        <w:t>ой статистики в информационно-телекоммуникационной сети «</w:t>
      </w:r>
      <w:r>
        <w:t>Интернет»: https://websbor.rosstat.gov.ru/online/info.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5. Учредитель (учредители) организации культурно-досугового типа указывается (указываются) в соответствии с записью в учредительных документах, </w:t>
      </w:r>
      <w:r>
        <w:rPr>
          <w:szCs w:val="24"/>
        </w:rPr>
        <w:t xml:space="preserve">а затем его (их) организационно-правовая форма и форма собственности. </w:t>
      </w:r>
    </w:p>
    <w:p w:rsidR="00EF2239" w:rsidRDefault="006510BF">
      <w:pPr>
        <w:ind w:firstLine="709"/>
        <w:jc w:val="both"/>
      </w:pPr>
      <w:r>
        <w:rPr>
          <w:color w:val="000000"/>
          <w:szCs w:val="24"/>
        </w:rPr>
        <w:t>6. </w:t>
      </w:r>
      <w:r>
        <w:t xml:space="preserve">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</w:t>
      </w:r>
      <w:r>
        <w:t>группировками по ОКВЭД2.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7. Юридическое лицо – организация, подведомственная органу управления в сфере культуры, при наличии обособленных подразделений, в раздел 4 включает данные в целом.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Обособленные подразделения, входящие в состав юридического лица и </w:t>
      </w:r>
      <w:r>
        <w:rPr>
          <w:szCs w:val="24"/>
        </w:rPr>
        <w:t xml:space="preserve">осуществляющие культурно-досуговую деятельность, разделы 1, 2 и 3 – заполняют, раздел 4 –  не заполняют.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Органы исполнительной власти субъекта Российской Федерации, осуществляющие управление в сфере культуры, в сводной форме разделы 1, 2 и 3 – заполняют, </w:t>
      </w:r>
      <w:r>
        <w:rPr>
          <w:szCs w:val="24"/>
        </w:rPr>
        <w:t xml:space="preserve">раздел 4 – не заполняют. 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8.</w:t>
      </w:r>
      <w:r>
        <w:rPr>
          <w:szCs w:val="24"/>
        </w:rPr>
        <w:t> Данные по форме предоставляются организацией – респондентом формы (далее – организацией) на конец отчетного года и содержат информацию за период с 1 января по 31 декабря.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</w:t>
      </w:r>
      <w:r>
        <w:rPr>
          <w:szCs w:val="24"/>
        </w:rPr>
        <w:t>заны в форме.</w:t>
      </w:r>
    </w:p>
    <w:p w:rsidR="00EF2239" w:rsidRDefault="006510BF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При предоставлении данных по форме должна быть обеспечена их полнота и достоверность.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9. Исключительно в целях запо</w:t>
      </w:r>
      <w:r>
        <w:rPr>
          <w:szCs w:val="24"/>
        </w:rPr>
        <w:t xml:space="preserve">лнения данных по форме используются следующие понятия: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Организация культурно-досугового типа – организация (учреждение) независимо от организационно-правовой формы и формы собственности, основная деятельность которой направлена на предоставление/выполнени</w:t>
      </w:r>
      <w:r>
        <w:rPr>
          <w:szCs w:val="24"/>
        </w:rPr>
        <w:t>е разнообразных услуг/работ культурно-досугового, информационно-просветительского и развлекательного характера, а также на создание условий для занятий любительским художественным, декоративно-прикладным, изобразительным и техническим творчеством, развития</w:t>
      </w:r>
      <w:r>
        <w:rPr>
          <w:szCs w:val="24"/>
        </w:rPr>
        <w:t xml:space="preserve"> любительского искусства, традиционных художественных промыслов и ремесел.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Организации культурно-досугового типа имеют следующие виды: клуб, Дом культуры, Дворец культуры, Центр (Дом) по направлениям культурно-досуговой деятельности, Центр культурного разв</w:t>
      </w:r>
      <w:r>
        <w:rPr>
          <w:szCs w:val="24"/>
        </w:rPr>
        <w:t>ития, клубная система, Централизованная клубная система, Передвижное клубное учреждение.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Клуб – вид культурно-досуговой организации, осуществляющей досуг населения и создающей условия для развития народного творчества, в том числе через деятельность клубны</w:t>
      </w:r>
      <w:r>
        <w:rPr>
          <w:sz w:val="24"/>
          <w:szCs w:val="24"/>
        </w:rPr>
        <w:t>х формирований и коллективов художественного любительского творчества. Обладает небольшими мощностными параметрами и штатной численностью, преимущественно располагается в сельской местности. Может являться самостоятельным юридическим лицом или филиалом Дом</w:t>
      </w:r>
      <w:r>
        <w:rPr>
          <w:sz w:val="24"/>
          <w:szCs w:val="24"/>
        </w:rPr>
        <w:t>а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Дом культуры – вид культурно-досуговой организации, обладающей большими, чем клуб, характеристиками по параметрам мощности, оснащения и штатной численности. Может иметь расширенную зону обслуживания и наличие филиалов. Располагается в районных </w:t>
      </w:r>
      <w:r>
        <w:rPr>
          <w:sz w:val="24"/>
          <w:szCs w:val="24"/>
        </w:rPr>
        <w:t>центрах и крупных сельских поселениях, являясь районным домом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Дворец культуры – крупная культурно-досуговая организация, являющаяся самостоятельным юридическим лицом, оснащенная оборудованием, штатной численностью, отличающаяся расширенной зоной </w:t>
      </w:r>
      <w:r>
        <w:rPr>
          <w:sz w:val="24"/>
          <w:szCs w:val="24"/>
        </w:rPr>
        <w:t>обслуживания и наличием филиалов. Располагается в населенном пункте с развитой инфраструктурой.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Центры (Дома) – культурно-досуговые организации однопрофильные или с приоритетным направлением деятельности: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народного творчества;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хореографического искусства;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фольклора;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национальных культур;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народных промыслов и ремесел и т.д.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 культурного развития (ЦКР) – вид культурно-досуговой организации. Организация, объединяющая услуги домов культуры, библиотек, музеев, кинозалов, концертных залов, выставочных и спор</w:t>
      </w:r>
      <w:r>
        <w:rPr>
          <w:sz w:val="24"/>
          <w:szCs w:val="24"/>
        </w:rPr>
        <w:t>тивных залов, оснащенная телекоммуникационными технологиями. Учредитель ЦКР определяет функциональные особенности и приоритетные направления деятельности центра (кинопоказы, проведение театральных постановок, выставок, предоставление дополнительного художе</w:t>
      </w:r>
      <w:r>
        <w:rPr>
          <w:sz w:val="24"/>
          <w:szCs w:val="24"/>
        </w:rPr>
        <w:t>ственного образования и т.д.).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Клубная система – совокупность (сеть) взаимодействующих клубных организаций, объединенных на определенных договорных условиях или добровольных началах, в целях полного и качественного удовлетворения культурно-досуговых </w:t>
      </w:r>
      <w:r>
        <w:rPr>
          <w:sz w:val="24"/>
          <w:szCs w:val="24"/>
        </w:rPr>
        <w:t>запросов населения и эффективного использования всех ресурсов клубных организаций.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Централизованная клубная система – объединение, представляющее собой целостную культурно-досуговую организацию, функционирующую на основе общего управления, единого штата, о</w:t>
      </w:r>
      <w:r>
        <w:rPr>
          <w:sz w:val="24"/>
          <w:szCs w:val="24"/>
        </w:rPr>
        <w:t>рганизационного и технологического единства. ЦКС состоит из центрального культурно-досугового учреждения и клубов-филиалов.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Передвижное клубное учреждение – ПКУ, осуществляющее свою работу с целью многофункционального использования организации досуга жител</w:t>
      </w:r>
      <w:r>
        <w:rPr>
          <w:sz w:val="24"/>
          <w:szCs w:val="24"/>
        </w:rPr>
        <w:t>ей отдаленных населенных пунктов, не имеющих культурно-досуговых организаций.</w:t>
      </w:r>
    </w:p>
    <w:p w:rsidR="00EF2239" w:rsidRDefault="006510BF">
      <w:pPr>
        <w:pStyle w:val="a4"/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Культурно-досуговая деятельность – деятельность по организации и проведению культурно-досуговых мероприятий.</w:t>
      </w:r>
    </w:p>
    <w:p w:rsidR="00EF2239" w:rsidRDefault="006510BF">
      <w:pPr>
        <w:pStyle w:val="110"/>
        <w:widowControl/>
        <w:spacing w:before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Раздел 1. Материально-техническая база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 указывается число </w:t>
      </w:r>
      <w:r>
        <w:rPr>
          <w:szCs w:val="24"/>
        </w:rPr>
        <w:t>зданий, постоянно используемых отчитывающейся организацией для осуществления культурно-досуговой деятельности, включая здания, принадлежащие иным организациям (в том числе, в случае использования в них отдельных помещений).</w:t>
      </w:r>
      <w:r>
        <w:t xml:space="preserve"> Если у организации несколько зда</w:t>
      </w:r>
      <w:r>
        <w:t>ний, используемых для культурно-досуговой деятельности частично, то показывается суммарное число таких зданий.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графах 3, 4 и 5 (из графы 2) указывается число зданий с наличием безбарьерной среды для лиц с нарушениями: зрения (графа 4), слуха (графа 5), о</w:t>
      </w:r>
      <w:r>
        <w:rPr>
          <w:szCs w:val="24"/>
        </w:rPr>
        <w:t>порно-двигательного аппарата (графа 6). Данные вносятся об объектах, соответствующих «СП 59.13330.2020 Свод Правил. Доступность зданий и сооружений для маломобильных групп населения СНиП 35-01-2001», утвержденному приказом Министерства строительства и жили</w:t>
      </w:r>
      <w:r>
        <w:rPr>
          <w:szCs w:val="24"/>
        </w:rPr>
        <w:t>щно-коммунального хозяйства Российской Федерации от 30 декабря 2020 г. № 904/пр, а также при наличии ассистивных средств с учетом разумного приспособления, если объект невозможно приспособить полностью. Основанием для заполнения указанных граф является пас</w:t>
      </w:r>
      <w:r>
        <w:rPr>
          <w:szCs w:val="24"/>
        </w:rPr>
        <w:t xml:space="preserve">порт доступности организации.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6 (из графы 2) указывается число зданий, находящихся в </w:t>
      </w:r>
      <w:r>
        <w:rPr>
          <w:spacing w:val="-6"/>
          <w:szCs w:val="24"/>
        </w:rPr>
        <w:t>оперативном управлении или хозяйственном ведении</w:t>
      </w:r>
      <w:r>
        <w:rPr>
          <w:szCs w:val="24"/>
        </w:rPr>
        <w:t>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7 (из графы 2) указывается число зданий, используемых организацией по договору аренды.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8 (из гра</w:t>
      </w:r>
      <w:r>
        <w:rPr>
          <w:szCs w:val="24"/>
        </w:rPr>
        <w:t>фы 2) указывается число зданий, используемых на других правовых основаниях (собственность, по договору безвозмездного пользования</w:t>
      </w:r>
      <w:r>
        <w:t xml:space="preserve"> включая здания, принадлежащие иным организациям, в которых используются отдельные помещения для культурно-досуговой деятельнос</w:t>
      </w:r>
      <w:r>
        <w:t>ти</w:t>
      </w:r>
      <w:r>
        <w:rPr>
          <w:szCs w:val="24"/>
        </w:rPr>
        <w:t>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9 и 10 (из графы 6) характеризуют техническое состояние зданий, находящихся в оперативном управлении или хозяйственном ведении.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11 указывается общее число помещений, посто</w:t>
      </w:r>
      <w:r>
        <w:rPr>
          <w:szCs w:val="24"/>
        </w:rPr>
        <w:t>янно используемых отчитывающейся организацией для осуществления культурно-досуговой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12 и 13 (из графы 11) характеризуют техническое состояние помещений.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14 (из гр</w:t>
      </w:r>
      <w:r>
        <w:rPr>
          <w:szCs w:val="24"/>
        </w:rPr>
        <w:t>афы 11) указывается число арендованных помещений.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15 (из графы 11) указывается число зрительных залов. Необходимыми условиями учета таких помещений являются: наличие сцены (места выступления), наличие или возможность использования радиотехнического</w:t>
      </w:r>
      <w:r>
        <w:rPr>
          <w:szCs w:val="24"/>
        </w:rPr>
        <w:t xml:space="preserve"> оборудования, возможность размещения зрителей (наличие стационарно установленных или перемещаемых зрительских кресел).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В графе 16 указывается число мест в зрительных залах (стационарно установленных или перемещаемых).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17 (из графы 11) указывается </w:t>
      </w:r>
      <w:r>
        <w:rPr>
          <w:szCs w:val="24"/>
        </w:rPr>
        <w:t>общее число помещений, используемых для различных видов культурно-досуговой деятельности (музейная и библиотечная деятельность, работа кружков, проведение репетиций, занятий).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18 указывается общая площадь помещений, используемых для различных видов</w:t>
      </w:r>
      <w:r>
        <w:rPr>
          <w:szCs w:val="24"/>
        </w:rPr>
        <w:t xml:space="preserve"> культурно-досуговой деятельности, общее число которых приведено в графе 17.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19 (из графы 17) приводится число помещений, используемых для музейной и библиотечной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20 и 21 (графы 18) указывается площадь помещений, используемых</w:t>
      </w:r>
      <w:r>
        <w:rPr>
          <w:szCs w:val="24"/>
        </w:rPr>
        <w:t xml:space="preserve"> для музейной (графа 20) и библиотечной (графа 21)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22 указывается информация о возможности использования информационно-телекоммуникационной сети «Интернет» (далее</w:t>
      </w:r>
      <w:r>
        <w:rPr>
          <w:szCs w:val="24"/>
          <w:lang w:val="en-US"/>
        </w:rPr>
        <w:t> </w:t>
      </w:r>
      <w:r>
        <w:rPr>
          <w:szCs w:val="24"/>
        </w:rPr>
        <w:t>– Интернет) при осуществлении отчитывающейся организацией различных вид</w:t>
      </w:r>
      <w:r>
        <w:rPr>
          <w:szCs w:val="24"/>
        </w:rPr>
        <w:t xml:space="preserve">ов своей финансово-хозяйственной деятельности (как основных видов уставной, так и административно-управленческой деятельности). В случае наличия возможности использования Интернета в графу проставляется значение – «1», в противном случае – «0».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23</w:t>
      </w:r>
      <w:r>
        <w:rPr>
          <w:szCs w:val="24"/>
        </w:rPr>
        <w:t xml:space="preserve"> указывается информация о возможности посетителей и участников культурно-досуговых формирований получить доступ в Интернет в помещениях отчитывающей организации. В случае наличия такой возможности в графу проставляется значение – «1», в противном случае – </w:t>
      </w:r>
      <w:r>
        <w:rPr>
          <w:szCs w:val="24"/>
        </w:rPr>
        <w:t>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24 ставится «1» при наличии собственного сайта в информационно-телекоммуникационной сети «Интернет» (далее – Интернет-сайт), официально зарегистрированного и имеющего уникальный домен в сети Интернет (состоящего на балансе организации), в</w:t>
      </w:r>
      <w:r>
        <w:rPr>
          <w:szCs w:val="24"/>
          <w:lang w:val="en-US"/>
        </w:rPr>
        <w:t> </w:t>
      </w:r>
      <w:r>
        <w:rPr>
          <w:szCs w:val="24"/>
        </w:rPr>
        <w:t>прот</w:t>
      </w:r>
      <w:r>
        <w:rPr>
          <w:szCs w:val="24"/>
        </w:rPr>
        <w:t>ивном случае – «0».</w:t>
      </w:r>
    </w:p>
    <w:p w:rsidR="00EF2239" w:rsidRDefault="006510BF">
      <w:pPr>
        <w:ind w:firstLine="709"/>
        <w:jc w:val="both"/>
      </w:pPr>
      <w:r>
        <w:rPr>
          <w:szCs w:val="24"/>
        </w:rPr>
        <w:t xml:space="preserve">В графе 25 ставится «1» при наличии собственного Интернет-сайта, официально зарегистрированного и имеющего уникальный домен </w:t>
      </w:r>
      <w:r>
        <w:rPr>
          <w:szCs w:val="24"/>
        </w:rPr>
        <w:br w:type="textWrapping" w:clear="all"/>
      </w:r>
      <w:r>
        <w:rPr>
          <w:szCs w:val="24"/>
        </w:rPr>
        <w:t>в Интернете (состоящего на балансе организации), в соответствии с «ГОСТ Р 52872-2019. Национальный стандарт Рос</w:t>
      </w:r>
      <w:r>
        <w:rPr>
          <w:szCs w:val="24"/>
        </w:rPr>
        <w:t>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</w:t>
      </w:r>
      <w:r>
        <w:rPr>
          <w:szCs w:val="24"/>
        </w:rPr>
        <w:t xml:space="preserve">чениями жизнедеятельности», утвержденным приказом Росстандарта от 29 августа 2019 г. № 589-ст, </w:t>
      </w:r>
      <w:r>
        <w:t xml:space="preserve">в противном случае </w:t>
      </w:r>
      <w:r>
        <w:rPr>
          <w:szCs w:val="24"/>
        </w:rPr>
        <w:t>–</w:t>
      </w:r>
      <w:r>
        <w:t xml:space="preserve"> 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26 </w:t>
      </w:r>
      <w:r>
        <w:t>указывается число специализированного оборудования для инвалидов (</w:t>
      </w:r>
      <w:r>
        <w:rPr>
          <w:rFonts w:eastAsia="Cambria"/>
          <w:szCs w:val="24"/>
        </w:rPr>
        <w:t>колясок, скалоходов</w:t>
      </w:r>
      <w:r>
        <w:t xml:space="preserve">). </w:t>
      </w:r>
      <w:r>
        <w:rPr>
          <w:szCs w:val="24"/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>
        <w:rPr>
          <w:szCs w:val="24"/>
        </w:rPr>
        <w:t>(поручни, мнемосхемы, тактильные предупреждающие полосы и тому подобное), при заполнении графы не учиты</w:t>
      </w:r>
      <w:r>
        <w:rPr>
          <w:szCs w:val="24"/>
        </w:rPr>
        <w:t>ваются.</w:t>
      </w:r>
    </w:p>
    <w:p w:rsidR="00EF2239" w:rsidRDefault="006510BF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В графе 27 указывается число </w:t>
      </w:r>
      <w:r>
        <w:rPr>
          <w:rStyle w:val="aff5"/>
          <w:bCs/>
          <w:i w:val="0"/>
          <w:iCs w:val="0"/>
          <w:shd w:val="clear" w:color="auto" w:fill="FFFFFF"/>
        </w:rPr>
        <w:t>состоящих на балансе</w:t>
      </w:r>
      <w:r>
        <w:rPr>
          <w:szCs w:val="24"/>
        </w:rPr>
        <w:t xml:space="preserve"> у отчитывающейся организации или ее учредителя специализированных транспортных средств (автоклубы, </w:t>
      </w:r>
      <w:r>
        <w:rPr>
          <w:szCs w:val="24"/>
          <w:shd w:val="clear" w:color="auto" w:fill="FFFFFF"/>
        </w:rPr>
        <w:t>библиобусы, библиомобили).</w:t>
      </w:r>
    </w:p>
    <w:p w:rsidR="00EF2239" w:rsidRDefault="006510BF">
      <w:pPr>
        <w:ind w:firstLine="709"/>
        <w:jc w:val="both"/>
        <w:rPr>
          <w:strike/>
          <w:szCs w:val="24"/>
        </w:rPr>
      </w:pPr>
      <w:r>
        <w:rPr>
          <w:szCs w:val="24"/>
          <w:shd w:val="clear" w:color="auto" w:fill="FFFFFF"/>
        </w:rPr>
        <w:t xml:space="preserve">В графе 28 (из графы 27) </w:t>
      </w:r>
      <w:r>
        <w:rPr>
          <w:szCs w:val="24"/>
        </w:rPr>
        <w:t>указывается число автоклубов, имеющихся у отчит</w:t>
      </w:r>
      <w:r>
        <w:rPr>
          <w:szCs w:val="24"/>
        </w:rPr>
        <w:t xml:space="preserve">ывающейся организации или ее учредителя.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Если специализированные транспортные средства используются учредителем и обособленным подразделением, то графы 27 и 28 заполняются только учредителем юридического лица.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29 указывается </w:t>
      </w:r>
      <w:r>
        <w:rPr>
          <w:rFonts w:eastAsia="Cambria"/>
          <w:szCs w:val="24"/>
          <w:lang w:eastAsia="en-US"/>
        </w:rPr>
        <w:t>количество сельских на</w:t>
      </w:r>
      <w:r>
        <w:rPr>
          <w:rFonts w:eastAsia="Cambria"/>
          <w:szCs w:val="24"/>
          <w:lang w:eastAsia="en-US"/>
        </w:rPr>
        <w:t>селенных пунктов,</w:t>
      </w:r>
      <w:r>
        <w:rPr>
          <w:szCs w:val="24"/>
        </w:rPr>
        <w:t xml:space="preserve"> не имевших стационарных организаций культуры и </w:t>
      </w:r>
      <w:r>
        <w:rPr>
          <w:rFonts w:eastAsia="Cambria"/>
          <w:szCs w:val="24"/>
          <w:lang w:eastAsia="en-US"/>
        </w:rPr>
        <w:t xml:space="preserve">обслуживаемых </w:t>
      </w:r>
      <w:r>
        <w:rPr>
          <w:rFonts w:eastAsia="Cambria"/>
          <w:szCs w:val="24"/>
          <w:lang w:eastAsia="en-US"/>
        </w:rPr>
        <w:br w:type="textWrapping" w:clear="all"/>
      </w:r>
      <w:r>
        <w:rPr>
          <w:rFonts w:eastAsia="Cambria"/>
          <w:szCs w:val="24"/>
          <w:lang w:eastAsia="en-US"/>
        </w:rPr>
        <w:t>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отчетном году.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2. Клубные формирования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разделе приводятся данные по всем культурно-досуговым формированиям отчитывающейся организации (народные университеты, любительские объединения и клубы по интересам, кружки и коллективы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zCs w:val="24"/>
        </w:rPr>
        <w:t xml:space="preserve"> народного и технического творчества,</w:t>
      </w:r>
      <w:r>
        <w:rPr>
          <w:szCs w:val="24"/>
        </w:rPr>
        <w:t xml:space="preserve"> школы и курсы прикладных знаний и навыков, спортивные и тренажерные секции), действующим на конец отчетного года. Формирования, действовавшие в течение года, но завершившие программу работы до конца отчетного года, также включаются в форму.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раздел</w:t>
      </w:r>
      <w:r>
        <w:rPr>
          <w:szCs w:val="24"/>
          <w:lang w:val="ru-RU"/>
        </w:rPr>
        <w:t>а заполняются на основании журнала учета клубных формирований путем подсчета числа участников в них. Лица, участвующие в нескольких кружках, секциях, учитываются по каждому из них в отдельности.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содержат: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формирований (указывается по строке 0</w:t>
      </w:r>
      <w:r>
        <w:rPr>
          <w:szCs w:val="24"/>
        </w:rPr>
        <w:t xml:space="preserve">2);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численность участников в них (указывается по строке 03).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графе 3 (</w:t>
      </w:r>
      <w:r>
        <w:rPr>
          <w:rStyle w:val="aff4"/>
          <w:sz w:val="24"/>
          <w:szCs w:val="24"/>
        </w:rPr>
        <w:t>с</w:t>
      </w:r>
      <w:r>
        <w:rPr>
          <w:sz w:val="24"/>
          <w:szCs w:val="24"/>
        </w:rPr>
        <w:t>умма граф 6 и 8) приводятся данные (общее число клубных формирований и численность участников в них) по всем культурно-досуговым формированиям.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4 приводятся данные по формиро</w:t>
      </w:r>
      <w:r>
        <w:rPr>
          <w:szCs w:val="24"/>
        </w:rPr>
        <w:t>ваниям для детей до 14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5 приводятся данные по формированиям для молодежи от 15 до 35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приводятся данные по формированиям, относящимся к любительским объединениям, группам, клубам по интереса</w:t>
      </w:r>
      <w:r>
        <w:rPr>
          <w:szCs w:val="24"/>
        </w:rPr>
        <w:t>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7 (из графы 3) приводятся данные по инклюзивным формированиям, то есть включающим в состав инвалидов и лиц с ограниченными возможностями здоровья (далее </w:t>
      </w:r>
      <w:r>
        <w:rPr>
          <w:rFonts w:ascii="Symbol" w:eastAsia="Symbol" w:hAnsi="Symbol" w:cs="Symbol"/>
          <w:szCs w:val="24"/>
        </w:rPr>
        <w:t></w:t>
      </w:r>
      <w:r>
        <w:rPr>
          <w:szCs w:val="24"/>
        </w:rPr>
        <w:t xml:space="preserve"> ОВЗ).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8 (из графы 3) приводятся данные по прочим клубным формированиям: кружкам, </w:t>
      </w:r>
      <w:r>
        <w:rPr>
          <w:szCs w:val="24"/>
        </w:rPr>
        <w:t>творческим коллективам, секциям, студиям любительского художественного, декоративно-прикладного, изобразительного и технического творчества, занятиям на факультетах народных университетов, курсам прикладных знаний и навыков, творческим лабораториям.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</w:t>
      </w:r>
      <w:r>
        <w:rPr>
          <w:szCs w:val="24"/>
        </w:rPr>
        <w:t>ах 9 ‒ 11 (из графы 8) приводятся данные по прочим клубным формированиям, в том числе: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детей до 14 лет включительно (графа 9);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молодежи от 15 до 35 лет включительно (граф</w:t>
      </w:r>
      <w:r>
        <w:rPr>
          <w:szCs w:val="24"/>
        </w:rPr>
        <w:t>а 10);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клубным формированиям самодеятельного (любительского) народного творчества (графа 11).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 xml:space="preserve">В графах 12 ‒ 14 (из графы 11) приводятся данные по клубным формированиям </w:t>
      </w:r>
      <w:r>
        <w:rPr>
          <w:color w:val="000000"/>
          <w:spacing w:val="-2"/>
          <w:szCs w:val="24"/>
          <w:lang w:val="ru-RU"/>
        </w:rPr>
        <w:t>самодеятельного (любительского)</w:t>
      </w:r>
      <w:r>
        <w:rPr>
          <w:spacing w:val="-2"/>
          <w:szCs w:val="24"/>
          <w:lang w:val="ru-RU"/>
        </w:rPr>
        <w:t xml:space="preserve"> </w:t>
      </w:r>
      <w:r>
        <w:rPr>
          <w:szCs w:val="24"/>
          <w:lang w:val="ru-RU"/>
        </w:rPr>
        <w:t>народного творчества для детей до 14 лет включ</w:t>
      </w:r>
      <w:r>
        <w:rPr>
          <w:szCs w:val="24"/>
          <w:lang w:val="ru-RU"/>
        </w:rPr>
        <w:t>ительно (графа 12), для молодежи от 15 до 35 лет включительно (графа 13) и клубным формированиям самостоятельного (любительского) народного творчества, работающим на платной основе (графа 14).</w:t>
      </w:r>
    </w:p>
    <w:p w:rsidR="00EF2239" w:rsidRDefault="006510BF">
      <w:pPr>
        <w:ind w:firstLine="709"/>
        <w:jc w:val="both"/>
        <w:rPr>
          <w:rFonts w:eastAsia="Cambria"/>
          <w:szCs w:val="24"/>
          <w:lang w:eastAsia="en-US"/>
        </w:rPr>
      </w:pPr>
      <w:r>
        <w:rPr>
          <w:szCs w:val="24"/>
        </w:rPr>
        <w:t>В графах 15 и 16 (из графы 8) приводятся данные по</w:t>
      </w:r>
      <w:r>
        <w:rPr>
          <w:rFonts w:eastAsia="Cambria"/>
          <w:szCs w:val="24"/>
          <w:lang w:eastAsia="en-US"/>
        </w:rPr>
        <w:t xml:space="preserve"> формирования</w:t>
      </w:r>
      <w:r>
        <w:rPr>
          <w:rFonts w:eastAsia="Cambria"/>
          <w:szCs w:val="24"/>
          <w:lang w:eastAsia="en-US"/>
        </w:rPr>
        <w:t>м/кружкам технического творчества (графа 15) и спортивным формированиям/кружкам (графа 16).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В графах 17 ‒ 52 (из графы 11) по различным видам клубных формирований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pacing w:val="-2"/>
          <w:szCs w:val="24"/>
        </w:rPr>
        <w:t xml:space="preserve"> народного творчества, в том числе: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вокальным (графы 17 ‒ 24);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хореографическим (графы 25 ‒ 30);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инструментальным (графы 31 ‒ 41);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театральным (графы 42 ‒ 46);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фольклорные (графа 47);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изобразительного искусства (графа 48);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декоративно-прикладного искусства (графа 49);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кино-фото-видео-любителей (графа 50);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циркового и</w:t>
      </w:r>
      <w:r>
        <w:rPr>
          <w:spacing w:val="-2"/>
          <w:szCs w:val="24"/>
        </w:rPr>
        <w:t>скусства (графа 51);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прочим (графа 52).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При заполнении графы 30 следует учитывать </w:t>
      </w:r>
      <w:r>
        <w:rPr>
          <w:szCs w:val="24"/>
        </w:rPr>
        <w:t xml:space="preserve">разноплановые хореографические коллективы, которые работают в двух и более направлениях, </w:t>
      </w:r>
      <w:r>
        <w:rPr>
          <w:spacing w:val="-2"/>
          <w:szCs w:val="24"/>
        </w:rPr>
        <w:t>перечисленных в столбцах 26 ‒ 29.</w:t>
      </w:r>
    </w:p>
    <w:p w:rsidR="00EF2239" w:rsidRDefault="006510BF">
      <w:pPr>
        <w:ind w:firstLine="709"/>
        <w:jc w:val="both"/>
      </w:pPr>
      <w:r>
        <w:t>В графах 53 – 55 (из графы 8) указывается число коллективов, имеющих звание народный (графа 53), образцовый (графа 54) или заслуженный коллектив народного творчества (графа 55). Коллектив, получивший или подтвердивший в отчетном году звание, учитывается в </w:t>
      </w:r>
      <w:r>
        <w:t xml:space="preserve">одной из граф 53, 54 или 55. </w:t>
      </w:r>
    </w:p>
    <w:p w:rsidR="00EF2239" w:rsidRDefault="006510BF">
      <w:pPr>
        <w:ind w:firstLine="709"/>
        <w:jc w:val="both"/>
        <w:rPr>
          <w:color w:val="7B7B7B"/>
          <w:spacing w:val="-2"/>
          <w:szCs w:val="24"/>
        </w:rPr>
      </w:pPr>
      <w:r>
        <w:lastRenderedPageBreak/>
        <w:t>В графах 56 – 58 (из графы 8) указывается число коллективов (не количество конкурсов (фестивалей), участвовавших в конкурсах (фестивалях) различных уровней (международных, всероссийских, региональных), которые стали победителя</w:t>
      </w:r>
      <w:r>
        <w:t xml:space="preserve">ми и обладателями дипломов лауреата, дипломов/грамот победителей, дипломов Гран-при соответствующего уровня. Если один и тот же коллектив (или участник) принимал участие во всех трех видах конкурса (фестиваля), то </w:t>
      </w:r>
      <w:r>
        <w:rPr>
          <w:szCs w:val="24"/>
        </w:rPr>
        <w:t>в графах 56, 57 и 58 проставляется – «1».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3. Культурно-массовые мероприятия</w:t>
      </w:r>
    </w:p>
    <w:p w:rsidR="00EF2239" w:rsidRDefault="006510BF">
      <w:pPr>
        <w:ind w:firstLine="709"/>
        <w:jc w:val="both"/>
      </w:pPr>
      <w:r>
        <w:t xml:space="preserve">В разделе приводятся данные о культурно-массовых мероприятиях, проведенных респондентом в отчетный период. Под культурно-массовыми мероприятиями понимаются культурно-досуговые мероприятия (вечера отдыха, </w:t>
      </w:r>
      <w:r>
        <w:t xml:space="preserve">чествования, тематические вечера, выпускные, танцевальные/дискотеки, балы, праздники, игровые программы), а также информационно-просветительские мероприятия (литературно-музыкальные, видео-гостиные, встречи с деятелями культуры, науки, литературы, форумы, </w:t>
      </w:r>
      <w:r>
        <w:t xml:space="preserve">конференции, симпозиумы, съезды, круглые столы, семинары, мастер-классы, экспедиции, лекционные мероприятия, презентации). Классификация мероприятий должна соответствовать номенклатуре государственных и муниципальных услуг/работ, выполняемых организациями </w:t>
      </w:r>
      <w:r>
        <w:t>культурно-досугового типа Российской Федерации, которая определена распоряжением Минкультуры России от 18 сентября 2009 г. № Р-6.</w:t>
      </w:r>
    </w:p>
    <w:p w:rsidR="00EF2239" w:rsidRDefault="006510BF">
      <w:pPr>
        <w:ind w:firstLine="709"/>
        <w:jc w:val="both"/>
      </w:pPr>
      <w:r>
        <w:t>Данные о культурно-массовых мероприятиях и их посещений включают:</w:t>
      </w:r>
    </w:p>
    <w:p w:rsidR="00EF2239" w:rsidRDefault="006510BF">
      <w:pPr>
        <w:ind w:firstLine="709"/>
        <w:jc w:val="both"/>
      </w:pPr>
      <w:r>
        <w:t>число мероприятий всего, проведенных в отчетный период (указ</w:t>
      </w:r>
      <w:r>
        <w:t>ывается по строке 04);</w:t>
      </w:r>
    </w:p>
    <w:p w:rsidR="00EF2239" w:rsidRDefault="006510BF">
      <w:pPr>
        <w:ind w:firstLine="709"/>
        <w:jc w:val="both"/>
        <w:rPr>
          <w:szCs w:val="24"/>
        </w:rPr>
      </w:pPr>
      <w:r>
        <w:t>число мероприятий, проведенных в отчетный период</w:t>
      </w:r>
      <w:r>
        <w:rPr>
          <w:szCs w:val="24"/>
        </w:rPr>
        <w:t xml:space="preserve"> на платной основе (из строки 04) (указывается по строке 05);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мероприятий (указывается по строке 06);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платных мероприятий, отраженных по строке 06, указы</w:t>
      </w:r>
      <w:r>
        <w:rPr>
          <w:szCs w:val="24"/>
        </w:rPr>
        <w:t>вается по строке 07.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о культурно-массовых мероприятиях приводятся на основании содержания первичных учетных документов (журналов, отчетов). Число посещений культурно-массовых мероприятий учитывается по входным билетам или приглашениям (платным или б</w:t>
      </w:r>
      <w:r>
        <w:rPr>
          <w:szCs w:val="24"/>
          <w:lang w:val="ru-RU"/>
        </w:rPr>
        <w:t>есплатным, также по листкам списка участников). Число посещений платных мероприятий должно совпадать с количеством проданных билетов или приглашений.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К учету принимаются данные о проведенных мероприятиях с физическим присутствием посетителей.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о кул</w:t>
      </w:r>
      <w:r>
        <w:rPr>
          <w:szCs w:val="24"/>
        </w:rPr>
        <w:t>ьтурно-массовых мероприятиях не должны учитывать публичную демонстрацию киновидеофильмов, данные о билетах, которые передаются в единую федеральную автоматизированную информационную систему сведений о показе фильмов в кинозалах.</w:t>
      </w:r>
    </w:p>
    <w:p w:rsidR="00EF2239" w:rsidRDefault="006510BF">
      <w:pPr>
        <w:ind w:firstLine="709"/>
        <w:jc w:val="both"/>
      </w:pPr>
      <w:r>
        <w:t>При подсчете посещений куль</w:t>
      </w:r>
      <w:r>
        <w:t>турно-массовых мероприятий, проводимых за счет бюджетов всех уровней или пожертвований без взимания платы, могут быть использованы следующие методики:</w:t>
      </w:r>
    </w:p>
    <w:p w:rsidR="00EF2239" w:rsidRDefault="006510BF">
      <w:pPr>
        <w:ind w:firstLine="709"/>
        <w:jc w:val="both"/>
      </w:pPr>
      <w:r>
        <w:t>для стационарных мероприятий в зале: прямой подсчет занятых посадочных мест; выдача билетов с нулевой сто</w:t>
      </w:r>
      <w:r>
        <w:t>имостью; на основе договора с организацией, заказавшей мероприятие, в котором отражено необходимое количество участников;</w:t>
      </w:r>
    </w:p>
    <w:p w:rsidR="00EF2239" w:rsidRDefault="006510BF">
      <w:pPr>
        <w:ind w:firstLine="709"/>
        <w:jc w:val="both"/>
      </w:pPr>
      <w:r>
        <w:t xml:space="preserve">для статичных мероприятий на уличной площадке: использование </w:t>
      </w:r>
      <w:r>
        <w:rPr>
          <w:rFonts w:eastAsia="Calibri"/>
          <w:szCs w:val="28"/>
        </w:rPr>
        <w:t>отчетов органов внутренних дел, привлекаемых для обеспечения безопасности</w:t>
      </w:r>
      <w:r>
        <w:rPr>
          <w:rFonts w:eastAsia="Calibri"/>
          <w:szCs w:val="28"/>
        </w:rPr>
        <w:t xml:space="preserve"> при проведении массовых мероприятий</w:t>
      </w:r>
      <w:r>
        <w:rPr>
          <w:szCs w:val="28"/>
        </w:rPr>
        <w:t>;</w:t>
      </w:r>
      <w:r>
        <w:t xml:space="preserve"> </w:t>
      </w:r>
      <w:r>
        <w:rPr>
          <w:szCs w:val="28"/>
        </w:rPr>
        <w:t>электронный подсчет при установленных средствах контроля доступа в виде пропускных ворот;</w:t>
      </w:r>
      <w:r>
        <w:t xml:space="preserve"> </w:t>
      </w:r>
      <w:r>
        <w:rPr>
          <w:szCs w:val="28"/>
        </w:rPr>
        <w:t>использование результатов фото и видео фиксации;</w:t>
      </w:r>
      <w:r>
        <w:t xml:space="preserve"> подсчет </w:t>
      </w:r>
      <w:r>
        <w:rPr>
          <w:szCs w:val="28"/>
        </w:rPr>
        <w:t xml:space="preserve">по формуле </w:t>
      </w:r>
      <w:r>
        <w:rPr>
          <w:bCs/>
          <w:iCs/>
        </w:rPr>
        <w:t xml:space="preserve">Джейкобса: </w:t>
      </w:r>
      <w:r>
        <w:rPr>
          <w:szCs w:val="26"/>
          <w:shd w:val="clear" w:color="auto" w:fill="FFFFFF"/>
        </w:rPr>
        <w:t>1 человек на квадратный метр (люди стоят на расст</w:t>
      </w:r>
      <w:r>
        <w:rPr>
          <w:szCs w:val="26"/>
          <w:shd w:val="clear" w:color="auto" w:fill="FFFFFF"/>
        </w:rPr>
        <w:t>оянии вытянутой руки), 2,4 человека на квадратный метр (плотная толпа, но между людьми все же можно пройти) и 4,3 человека на квадратный метр (люди стоят плечом к плечу) соответственн</w:t>
      </w:r>
      <w:r>
        <w:rPr>
          <w:szCs w:val="26"/>
        </w:rPr>
        <w:t>о;</w:t>
      </w:r>
    </w:p>
    <w:p w:rsidR="00EF2239" w:rsidRDefault="006510BF">
      <w:pPr>
        <w:ind w:firstLine="709"/>
        <w:jc w:val="both"/>
        <w:rPr>
          <w:szCs w:val="28"/>
          <w:shd w:val="clear" w:color="auto" w:fill="FFFFFF"/>
        </w:rPr>
      </w:pPr>
      <w:r>
        <w:rPr>
          <w:szCs w:val="26"/>
          <w:shd w:val="clear" w:color="auto" w:fill="FFFFFF"/>
        </w:rPr>
        <w:t>для динамичных мероприятий (митинги, шествия, карнавалы, демонстрации)</w:t>
      </w:r>
      <w:r>
        <w:rPr>
          <w:szCs w:val="26"/>
          <w:shd w:val="clear" w:color="auto" w:fill="FFFFFF"/>
        </w:rPr>
        <w:t xml:space="preserve">: </w:t>
      </w:r>
      <w:r>
        <w:rPr>
          <w:szCs w:val="28"/>
          <w:shd w:val="clear" w:color="auto" w:fill="FFFFFF"/>
        </w:rPr>
        <w:t>количество человек, проходящих через наблюдателя за единицу времени умноженное на время шествия;</w:t>
      </w:r>
      <w:r>
        <w:rPr>
          <w:szCs w:val="26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использование электронных средств подсчета.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3 указываются данные о культурно-массовых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4 и 5 (и</w:t>
      </w:r>
      <w:r>
        <w:rPr>
          <w:szCs w:val="24"/>
        </w:rPr>
        <w:t>з графы 3) указываются данные о культурно-массовых мероприятиях, проведенных в отчетном периоде для детей до 14 лет включительно (графа 4) и молодежи от 15 до 35 лет включительно (графа 5) соответственно.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указываются данные о культур</w:t>
      </w:r>
      <w:r>
        <w:rPr>
          <w:szCs w:val="24"/>
        </w:rPr>
        <w:t>но-досуговых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7 ‒ 8 (из графы 6) указываются данные о культурно-досуговых мероприятиях для детей до 14 лет включительно (графа 7), для молодежи от 15 до 35 лет включительно (графа 8).</w:t>
      </w:r>
    </w:p>
    <w:p w:rsidR="00EF2239" w:rsidRDefault="006510BF">
      <w:pPr>
        <w:pStyle w:val="33"/>
        <w:rPr>
          <w:spacing w:val="-4"/>
          <w:szCs w:val="24"/>
          <w:lang w:val="ru-RU"/>
        </w:rPr>
      </w:pPr>
      <w:r>
        <w:rPr>
          <w:spacing w:val="-4"/>
          <w:szCs w:val="24"/>
          <w:lang w:val="ru-RU"/>
        </w:rPr>
        <w:t>В графе 9 (из граф</w:t>
      </w:r>
      <w:r>
        <w:rPr>
          <w:spacing w:val="-4"/>
          <w:szCs w:val="24"/>
          <w:lang w:val="ru-RU"/>
        </w:rPr>
        <w:t>ы 3) указываются данные о мероприятиях, проводимых с привлечением инвалидов и лиц с ОВЗ в качестве участников мероприятий.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10 (из графы 3) указываются данные о мероприятиях, доступных для восприятия инвалидами и лицами с ОВЗ, то есть  оснащенных ти</w:t>
      </w:r>
      <w:r>
        <w:rPr>
          <w:szCs w:val="24"/>
        </w:rPr>
        <w:t xml:space="preserve">флокомментариями (для слепых и слабовидящих), </w:t>
      </w:r>
      <w:r>
        <w:rPr>
          <w:szCs w:val="24"/>
          <w:lang w:val="en-US"/>
        </w:rPr>
        <w:t>FM</w:t>
      </w:r>
      <w:r>
        <w:rPr>
          <w:szCs w:val="24"/>
        </w:rPr>
        <w:t>-системами со вспомогательным оборудованием или табло «бегущая строка» с комплектом пассивного и активного коммутационного оборудования для подключения (для лиц с нарушениями слуха), а также учитывающих разме</w:t>
      </w:r>
      <w:r>
        <w:rPr>
          <w:szCs w:val="24"/>
        </w:rPr>
        <w:t>щение зрителей на креслах-колясках равномерно по объекту в пределах общей посадочной зоны или на специально отведенной для инвалидов на колясках территории, не ограничивающей восприятие мероприятия.</w:t>
      </w:r>
    </w:p>
    <w:p w:rsidR="00EF2239" w:rsidRDefault="006510BF">
      <w:pPr>
        <w:ind w:firstLine="709"/>
        <w:jc w:val="both"/>
        <w:rPr>
          <w:szCs w:val="28"/>
        </w:rPr>
      </w:pPr>
      <w:r>
        <w:rPr>
          <w:szCs w:val="24"/>
        </w:rPr>
        <w:t>В графе 11 (из графы 3) указываются данные о мероприятиях</w:t>
      </w:r>
      <w:r>
        <w:rPr>
          <w:szCs w:val="24"/>
        </w:rPr>
        <w:t xml:space="preserve">, проведенных с применением специализированных транспортных средств (автоклубы, </w:t>
      </w:r>
      <w:r>
        <w:rPr>
          <w:szCs w:val="24"/>
          <w:shd w:val="clear" w:color="auto" w:fill="FFFFFF"/>
        </w:rPr>
        <w:t xml:space="preserve">библиобусы, библиомобили). </w:t>
      </w:r>
      <w:r>
        <w:t xml:space="preserve">В число мероприятий входят </w:t>
      </w:r>
      <w:r>
        <w:rPr>
          <w:spacing w:val="-2"/>
          <w:szCs w:val="28"/>
        </w:rPr>
        <w:t xml:space="preserve">концертные и театрализованные </w:t>
      </w:r>
      <w:r>
        <w:rPr>
          <w:spacing w:val="-5"/>
          <w:szCs w:val="28"/>
        </w:rPr>
        <w:t xml:space="preserve">выступления на производственных </w:t>
      </w:r>
      <w:r>
        <w:rPr>
          <w:spacing w:val="-5"/>
          <w:szCs w:val="28"/>
        </w:rPr>
        <w:br w:type="textWrapping" w:clear="all"/>
      </w:r>
      <w:r>
        <w:rPr>
          <w:spacing w:val="-5"/>
          <w:szCs w:val="28"/>
        </w:rPr>
        <w:t xml:space="preserve">площадках или во время </w:t>
      </w:r>
      <w:r>
        <w:rPr>
          <w:spacing w:val="-8"/>
          <w:szCs w:val="28"/>
        </w:rPr>
        <w:t>посевной и уборочной страды,</w:t>
      </w:r>
      <w:r>
        <w:rPr>
          <w:spacing w:val="-5"/>
          <w:szCs w:val="28"/>
        </w:rPr>
        <w:t xml:space="preserve"> </w:t>
      </w:r>
      <w:r>
        <w:t xml:space="preserve">агитационные обозрения и представления, тематические презентации, вечера-портреты, </w:t>
      </w:r>
      <w:r>
        <w:br w:type="textWrapping" w:clear="all"/>
      </w:r>
      <w:r>
        <w:t>вечера-встречи с ветеранами войны и труда, устные журналы, литературно-музыкальные композиции, праздники улиц и малых деревень,</w:t>
      </w:r>
      <w:r>
        <w:rPr>
          <w:szCs w:val="28"/>
        </w:rPr>
        <w:t xml:space="preserve"> игровые развлекательные программы, в том чис</w:t>
      </w:r>
      <w:r>
        <w:rPr>
          <w:szCs w:val="28"/>
        </w:rPr>
        <w:t>ле для детей и молодежи, тематические дискотеки.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В графе 12 (из графы 11) указываются данные о мероприятиях, проведенных в рамках выездов автоклубов в </w:t>
      </w:r>
      <w:r>
        <w:rPr>
          <w:rFonts w:eastAsia="Cambria"/>
          <w:szCs w:val="24"/>
          <w:lang w:eastAsia="en-US"/>
        </w:rPr>
        <w:t>сельские населенные пункты,</w:t>
      </w:r>
      <w:r>
        <w:rPr>
          <w:szCs w:val="24"/>
        </w:rPr>
        <w:t xml:space="preserve"> не имеющие стационарных организаций культуры и </w:t>
      </w:r>
      <w:r>
        <w:rPr>
          <w:rFonts w:eastAsia="Cambria"/>
          <w:szCs w:val="24"/>
          <w:lang w:eastAsia="en-US"/>
        </w:rPr>
        <w:t>обслуживаемые 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</w:t>
      </w:r>
      <w:r>
        <w:rPr>
          <w:szCs w:val="24"/>
        </w:rPr>
        <w:t>четном году.</w:t>
      </w:r>
    </w:p>
    <w:p w:rsidR="00EF2239" w:rsidRDefault="006510BF">
      <w:pPr>
        <w:spacing w:before="120" w:after="120"/>
        <w:ind w:firstLine="709"/>
        <w:jc w:val="center"/>
        <w:rPr>
          <w:spacing w:val="-4"/>
          <w:szCs w:val="24"/>
        </w:rPr>
      </w:pPr>
      <w:r>
        <w:rPr>
          <w:b/>
          <w:bCs/>
          <w:szCs w:val="24"/>
        </w:rPr>
        <w:t>Раздел</w:t>
      </w:r>
      <w:r>
        <w:rPr>
          <w:b/>
          <w:bCs/>
          <w:spacing w:val="-4"/>
          <w:szCs w:val="24"/>
        </w:rPr>
        <w:t xml:space="preserve"> 4. Поступление</w:t>
      </w:r>
      <w:r>
        <w:rPr>
          <w:b/>
          <w:bCs/>
          <w:szCs w:val="24"/>
        </w:rPr>
        <w:t xml:space="preserve"> и использование финансовых средств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разделе на основании данных бухгалтерского учета показываются фактические суммы полученных и произведенных организациями поступлений и выплат финансовых средств.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Все данные в части </w:t>
      </w:r>
      <w:r>
        <w:rPr>
          <w:rFonts w:ascii="Times New Roman" w:hAnsi="Times New Roman"/>
          <w:spacing w:val="-4"/>
          <w:sz w:val="24"/>
        </w:rPr>
        <w:t>финансовых показателей формируются на основании форм бухгалтерской отчетности: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0503737 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0503723 «Отчет о дви</w:t>
      </w:r>
      <w:r>
        <w:rPr>
          <w:rFonts w:ascii="Times New Roman" w:hAnsi="Times New Roman"/>
          <w:spacing w:val="-4"/>
          <w:sz w:val="24"/>
        </w:rPr>
        <w:t>жении денежных средств учреждения»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</w:t>
      </w:r>
      <w:r>
        <w:rPr>
          <w:rFonts w:ascii="Times New Roman" w:hAnsi="Times New Roman"/>
          <w:spacing w:val="-4"/>
          <w:sz w:val="24"/>
        </w:rPr>
        <w:t>ков финансирования дефицита бюджета, главного администратора, администратора доходов бюджета» (для государственных казенных учреждений).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В графе 2 указываются все средства, поступившие за отчетный год на счета организации.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бюджетных и автономных учрежд</w:t>
      </w:r>
      <w:r>
        <w:rPr>
          <w:rFonts w:ascii="Times New Roman" w:hAnsi="Times New Roman"/>
          <w:spacing w:val="-4"/>
          <w:sz w:val="24"/>
        </w:rPr>
        <w:t>ений за счет: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 на финансовое обеспечение выполнения государственного (муниципального) задания;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lastRenderedPageBreak/>
        <w:t>субсидий на осуществление капитал</w:t>
      </w:r>
      <w:r>
        <w:rPr>
          <w:rFonts w:ascii="Times New Roman" w:hAnsi="Times New Roman"/>
          <w:spacing w:val="-4"/>
          <w:sz w:val="24"/>
        </w:rPr>
        <w:t>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грантов в форме субсидий, в том числе предоставляемых по результатам конкурсов;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поступлений от</w:t>
      </w:r>
      <w:r>
        <w:rPr>
          <w:rFonts w:ascii="Times New Roman" w:hAnsi="Times New Roman"/>
          <w:spacing w:val="-4"/>
          <w:sz w:val="24"/>
        </w:rPr>
        <w:t xml:space="preserve">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</w:t>
      </w:r>
      <w:r>
        <w:rPr>
          <w:rFonts w:ascii="Times New Roman" w:hAnsi="Times New Roman"/>
          <w:spacing w:val="-4"/>
          <w:sz w:val="24"/>
        </w:rPr>
        <w:t>щей доход деятельности, включая доходы от аренды имущества, находящегося в собственности, оперативном управлении или хозяйственном ведении учреждения;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поступлений от реализации ценных бумаг (для государственных автономных учреждений, а также государственны</w:t>
      </w:r>
      <w:r>
        <w:rPr>
          <w:rFonts w:ascii="Times New Roman" w:hAnsi="Times New Roman"/>
          <w:spacing w:val="-4"/>
          <w:sz w:val="24"/>
        </w:rPr>
        <w:t>х бюджетных учреждений в случаях, установленных федеральными законами).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2 указывается общая сумма поступлений финансовых средств за отчетный перио</w:t>
      </w:r>
      <w:r>
        <w:rPr>
          <w:spacing w:val="-4"/>
        </w:rPr>
        <w:t xml:space="preserve">д, которая складывается из бюджетных ассигнований учредителя (графа 3), финансирования из бюджетов других уровней (графа 4), поступлений от предпринимательской и иной приносящей доход деятельности (графа 5) и поступлений от сдачи имущества в аренду (графа </w:t>
      </w:r>
      <w:r>
        <w:rPr>
          <w:spacing w:val="-4"/>
        </w:rPr>
        <w:t xml:space="preserve">9).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3 отражаются бюджетные ассигнования, полученные от учредителя.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4 </w:t>
      </w:r>
      <w:r>
        <w:t>отражаются средства, поступившие за отчетный год из бюджетов других уровней</w:t>
      </w:r>
      <w:r>
        <w:rPr>
          <w:spacing w:val="-4"/>
        </w:rPr>
        <w:t>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5 отражаются поступления от предпринимательской и иной приносящей доход деятельности,</w:t>
      </w:r>
      <w:r>
        <w:rPr>
          <w:spacing w:val="-4"/>
        </w:rPr>
        <w:t xml:space="preserve"> из числа которых выделяются: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поступления от основных видов уставной деятельности (графа 6);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благотворительные и спонсорские вклады (графа 7);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поступления от предпринимательской деятельности (графа 8).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9 отражаются поступления от сдачи имущества </w:t>
      </w:r>
      <w:r>
        <w:rPr>
          <w:spacing w:val="-4"/>
        </w:rPr>
        <w:t>в аренду,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10 указывается общая сумма средств, израсходованных организацией за отчетный период.</w:t>
      </w:r>
    </w:p>
    <w:p w:rsidR="00EF2239" w:rsidRDefault="006510BF">
      <w:pPr>
        <w:ind w:firstLine="709"/>
        <w:jc w:val="both"/>
        <w:rPr>
          <w:color w:val="000000"/>
        </w:rPr>
      </w:pPr>
      <w:r>
        <w:rPr>
          <w:spacing w:val="-4"/>
        </w:rPr>
        <w:t xml:space="preserve">В графе 11 (из графы 10) приводятся данные о суммарной </w:t>
      </w:r>
      <w:r>
        <w:rPr>
          <w:spacing w:val="-4"/>
        </w:rPr>
        <w:t>величине финансовых средств, израсходованных на оплату труда работников, состоящих в штате организации. Сюда 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rPr>
          <w:color w:val="000000"/>
        </w:rPr>
        <w:t>кода</w:t>
      </w:r>
      <w:r>
        <w:rPr>
          <w:color w:val="000000"/>
        </w:rPr>
        <w:t>м 211 и 213 классификации операций сектора государственного управления (КОСГУ).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12 (из графы 11) приводятся данные о величине финансовых средств, израсходованных на оплату труда работников и полученных от предпринимательской и иной приносящей доход</w:t>
      </w:r>
      <w:r>
        <w:rPr>
          <w:spacing w:val="-4"/>
        </w:rPr>
        <w:t xml:space="preserve">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13 (из графы 11) приводятся данные о величине финансовых средств, израсходованных на оплату</w:t>
      </w:r>
      <w:r>
        <w:rPr>
          <w:spacing w:val="-4"/>
        </w:rPr>
        <w:t xml:space="preserve"> труда основного персонала.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</w:t>
      </w:r>
      <w:r>
        <w:rPr>
          <w:spacing w:val="-4"/>
          <w:lang w:val="en-US"/>
        </w:rPr>
        <w:t> </w:t>
      </w:r>
      <w:r>
        <w:rPr>
          <w:spacing w:val="-4"/>
        </w:rPr>
        <w:t>14 (из графы</w:t>
      </w:r>
      <w:r>
        <w:rPr>
          <w:spacing w:val="-4"/>
          <w:lang w:val="en-US"/>
        </w:rPr>
        <w:t> </w:t>
      </w:r>
      <w:r>
        <w:rPr>
          <w:spacing w:val="-4"/>
        </w:rPr>
        <w:t>13) приводятся данные о величине финансовых средств, израсходованных на оплату труда основного персонала и полученных от предпринимательской и иной приносящей доход деятельности, а также средств, поступивши</w:t>
      </w:r>
      <w:r>
        <w:rPr>
          <w:spacing w:val="-4"/>
        </w:rPr>
        <w:t>х от аренды имущества, находящегося в 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15 (из графы 10) приводятся данные о величине финансовых средств, израсходованных на капитальный ремонт и реставрацию зданий и помеще</w:t>
      </w:r>
      <w:r>
        <w:rPr>
          <w:spacing w:val="-4"/>
        </w:rPr>
        <w:t>ний.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16 (из графы 15) приводятся данные о величине финансовых средств, израсходованных на капитальный ремонт и реставрацию зданий </w:t>
      </w:r>
      <w:r>
        <w:rPr>
          <w:spacing w:val="-4"/>
        </w:rPr>
        <w:lastRenderedPageBreak/>
        <w:t xml:space="preserve">и помещений и полученных от предпринимательской и иной приносящей доход деятельности, а также средств, поступивших от </w:t>
      </w:r>
      <w:r>
        <w:rPr>
          <w:spacing w:val="-4"/>
        </w:rPr>
        <w:t>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17 (из графы 10) приводятся данные о величине финансовых средств, израсходованных на приобретение (замену) оборудования.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  <w:szCs w:val="24"/>
          <w:shd w:val="clear" w:color="auto" w:fill="FFFF00"/>
        </w:rPr>
      </w:pPr>
      <w:r>
        <w:rPr>
          <w:spacing w:val="-4"/>
        </w:rPr>
        <w:t>В графе 18 (из гр</w:t>
      </w:r>
      <w:r>
        <w:rPr>
          <w:spacing w:val="-4"/>
        </w:rPr>
        <w:t xml:space="preserve">афы 17) приводятся данные о величине финансовых средств, израсходованных на приобретение (замену) оборудования для улучшения условий доступности для лиц с </w:t>
      </w:r>
      <w:r>
        <w:rPr>
          <w:spacing w:val="-4"/>
          <w:szCs w:val="24"/>
        </w:rPr>
        <w:t xml:space="preserve">ОВЗ </w:t>
      </w:r>
      <w:r>
        <w:rPr>
          <w:spacing w:val="-4"/>
          <w:szCs w:val="24"/>
          <w:shd w:val="clear" w:color="auto" w:fill="FFFFFF"/>
        </w:rPr>
        <w:t>(</w:t>
      </w:r>
      <w:r>
        <w:rPr>
          <w:rFonts w:eastAsia="Cambria"/>
          <w:spacing w:val="-4"/>
          <w:szCs w:val="24"/>
          <w:shd w:val="clear" w:color="auto" w:fill="FFFFFF"/>
        </w:rPr>
        <w:t>колясок, скалоходов</w:t>
      </w:r>
      <w:r>
        <w:rPr>
          <w:spacing w:val="-4"/>
          <w:szCs w:val="24"/>
          <w:shd w:val="clear" w:color="auto" w:fill="FFFFFF"/>
        </w:rPr>
        <w:t>).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</w:rPr>
      </w:pPr>
      <w:r>
        <w:rPr>
          <w:spacing w:val="-4"/>
        </w:rPr>
        <w:t xml:space="preserve">В графе 19 (из графы 17) приводятся данные о величине финансовых средств, </w:t>
      </w:r>
      <w:r>
        <w:rPr>
          <w:spacing w:val="-4"/>
        </w:rPr>
        <w:t>израсходованных на приобретение оборудования и полученных от 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</w:t>
      </w:r>
      <w:r>
        <w:rPr>
          <w:spacing w:val="-4"/>
        </w:rPr>
        <w:t>ции.</w:t>
      </w:r>
    </w:p>
    <w:p w:rsidR="00EF2239" w:rsidRDefault="006510BF">
      <w:pPr>
        <w:widowControl w:val="0"/>
        <w:ind w:firstLine="709"/>
        <w:jc w:val="both"/>
        <w:rPr>
          <w:spacing w:val="-4"/>
          <w:szCs w:val="24"/>
        </w:rPr>
      </w:pPr>
      <w:r>
        <w:rPr>
          <w:spacing w:val="-4"/>
        </w:rPr>
        <w:t>В графе 20 (из графы 10) приводятся данные о величине финансовых средств, израсходованных на подготовку и проведение социально-значимых мероприятий</w:t>
      </w:r>
      <w:r>
        <w:rPr>
          <w:spacing w:val="-4"/>
          <w:szCs w:val="24"/>
        </w:rPr>
        <w:t>: для ветеранов,  детей, молодежи, семейной аудитории, инвалидов, многодетных и малообеспеченных семей и</w:t>
      </w:r>
      <w:r>
        <w:rPr>
          <w:spacing w:val="-4"/>
          <w:szCs w:val="24"/>
        </w:rPr>
        <w:t xml:space="preserve"> других подобных категорий населения, проводимых как на безвозмездной, так и на платной основе.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21 (из графы 20) приводятся данные о величине финансовых средств, израсходованных на подготовку и проведение социально значимых мероприятий и полученных</w:t>
      </w:r>
      <w:r>
        <w:rPr>
          <w:spacing w:val="-4"/>
        </w:rPr>
        <w:t xml:space="preserve">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zCs w:val="24"/>
        </w:rPr>
      </w:pPr>
      <w:r>
        <w:rPr>
          <w:spacing w:val="-4"/>
        </w:rPr>
        <w:t>Данный раздел заполняется организацией – учредителем</w:t>
      </w:r>
      <w:r>
        <w:rPr>
          <w:spacing w:val="-4"/>
        </w:rPr>
        <w:t xml:space="preserve"> юридического лица </w:t>
      </w:r>
      <w:r>
        <w:rPr>
          <w:szCs w:val="24"/>
        </w:rPr>
        <w:t xml:space="preserve">в целом по юридическому лицу, включая данные обо всех входящих в него обособленных подразделениях. </w:t>
      </w:r>
    </w:p>
    <w:p w:rsidR="00EF2239" w:rsidRDefault="006510BF">
      <w:pPr>
        <w:widowControl w:val="0"/>
        <w:ind w:firstLine="709"/>
        <w:jc w:val="both"/>
      </w:pPr>
      <w:r>
        <w:rPr>
          <w:szCs w:val="24"/>
        </w:rPr>
        <w:t>Организации, имеющие форму собственности кроме государственной и муниципальной, данный раздел не заполняют.</w:t>
      </w:r>
    </w:p>
    <w:p w:rsidR="00EF2239" w:rsidRDefault="00EF2239">
      <w:pPr>
        <w:widowControl w:val="0"/>
        <w:ind w:firstLine="709"/>
        <w:jc w:val="both"/>
      </w:pPr>
    </w:p>
    <w:sectPr w:rsidR="00EF2239">
      <w:headerReference w:type="even" r:id="rId8"/>
      <w:headerReference w:type="default" r:id="rId9"/>
      <w:headerReference w:type="first" r:id="rId10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BF" w:rsidRDefault="006510BF">
      <w:r>
        <w:separator/>
      </w:r>
    </w:p>
  </w:endnote>
  <w:endnote w:type="continuationSeparator" w:id="0">
    <w:p w:rsidR="006510BF" w:rsidRDefault="0065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BF" w:rsidRDefault="006510BF">
      <w:r>
        <w:separator/>
      </w:r>
    </w:p>
  </w:footnote>
  <w:footnote w:type="continuationSeparator" w:id="0">
    <w:p w:rsidR="006510BF" w:rsidRDefault="006510BF">
      <w:r>
        <w:continuationSeparator/>
      </w:r>
    </w:p>
  </w:footnote>
  <w:footnote w:id="1">
    <w:p w:rsidR="00EF2239" w:rsidRDefault="006510BF">
      <w:pPr>
        <w:pStyle w:val="singlespacefootnotetext11111"/>
        <w:ind w:firstLine="567"/>
        <w:jc w:val="both"/>
      </w:pPr>
      <w:r>
        <w:rPr>
          <w:rStyle w:val="af5"/>
        </w:rPr>
        <w:footnoteRef/>
      </w:r>
      <w: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</w:t>
      </w:r>
      <w:r>
        <w:br w:type="textWrapping" w:clear="all"/>
      </w:r>
      <w:r>
        <w:t xml:space="preserve">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br w:type="textWrapping" w:clear="all"/>
      </w:r>
      <w:r>
        <w:t>или иных организационно-распорядительных документах организации, и от полномочий, которыми наде</w:t>
      </w:r>
      <w:r>
        <w:t xml:space="preserve">ляется указанное подразделение. При этом рабочее место считается </w:t>
      </w:r>
      <w:r>
        <w:br/>
        <w:t>стационарным, если оно создается на срок более одного месяца (пункт 2 статьи 11 Налогового кодекса Российской Федерации).</w:t>
      </w:r>
    </w:p>
    <w:p w:rsidR="00EF2239" w:rsidRDefault="00EF2239">
      <w:pPr>
        <w:pStyle w:val="singlespacefootnotetext1111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64DFB">
      <w:rPr>
        <w:noProof/>
      </w:rPr>
      <w:t>2</w:t>
    </w:r>
    <w:r>
      <w:fldChar w:fldCharType="end"/>
    </w:r>
  </w:p>
  <w:p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2239" w:rsidRDefault="00EF2239"/>
                        <w:p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9"/>
    <w:rsid w:val="00023927"/>
    <w:rsid w:val="00064DFB"/>
    <w:rsid w:val="006510BF"/>
    <w:rsid w:val="00E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6CB7-BCEF-448F-A378-BBE38DC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5755</Words>
  <Characters>32809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38488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Гущина Наталия Витальевна</cp:lastModifiedBy>
  <cp:revision>3</cp:revision>
  <dcterms:created xsi:type="dcterms:W3CDTF">2025-11-19T05:55:00Z</dcterms:created>
  <dcterms:modified xsi:type="dcterms:W3CDTF">2025-11-19T05:55:00Z</dcterms:modified>
  <cp:version>917504</cp:version>
</cp:coreProperties>
</file>